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Atkinson Hyperlegible" w:cs="Atkinson Hyperlegible" w:eastAsia="Atkinson Hyperlegible" w:hAnsi="Atkinson Hyperlegible"/>
          <w:b/>
          <w:bCs/>
          <w:sz w:val="36"/>
          <w:szCs w:val="36"/>
        </w:rPr>
        <w:t xml:space="preserve">AP43 — Dated Notes of 13 September 2026</w:t>
      </w:r>
    </w:p>
    <w:p>
      <w:pPr>
        <w:spacing w:after="160" w:line="276"/>
      </w:pPr>
      <w:r>
        <w:rPr>
          <w:rFonts w:ascii="Atkinson Hyperlegible" w:cs="Atkinson Hyperlegible" w:eastAsia="Atkinson Hyperlegible" w:hAnsi="Atkinson Hyperlegible"/>
          <w:b w:val="false"/>
          <w:bCs w:val="false"/>
          <w:i/>
          <w:iCs/>
          <w:sz w:val="22"/>
          <w:szCs w:val="22"/>
        </w:rPr>
        <w:t xml:space="preserve">Two notes for The Gravity of Possibilities, placed beside the locked body and not in it. One pays part of a debt the paper records as owed. One corrects a single sentence. No number in AP43 or anywhere downstream of it moves.</w:t>
      </w:r>
    </w:p>
    <w:p>
      <w:pPr>
        <w:spacing w:after="160" w:line="276"/>
      </w:pPr>
      <w:r>
        <w:rPr>
          <w:rFonts w:ascii="Atkinson Hyperlegible" w:cs="Atkinson Hyperlegible" w:eastAsia="Atkinson Hyperlegible" w:hAnsi="Atkinson Hyperlegible"/>
          <w:b w:val="false"/>
          <w:bCs w:val="false"/>
          <w:i/>
          <w:iCs/>
          <w:sz w:val="22"/>
          <w:szCs w:val="22"/>
        </w:rPr>
        <w:t xml:space="preserve">Desk instrument, 13 September 2026. Both notes were found while walking the ripple road of AP54 §10 and are independent of it: neither rests on the ripple, and both stand if that road closes.</w:t>
      </w:r>
    </w:p>
    <w:p>
      <w:pPr>
        <w:pStyle w:val="Heading2"/>
        <w:spacing w:after="200" w:before="420"/>
      </w:pPr>
      <w:r>
        <w:rPr>
          <w:rFonts w:ascii="Atkinson Hyperlegible" w:cs="Atkinson Hyperlegible" w:eastAsia="Atkinson Hyperlegible" w:hAnsi="Atkinson Hyperlegible"/>
          <w:b/>
          <w:bCs/>
          <w:color w:val="000000"/>
          <w:sz w:val="24"/>
          <w:szCs w:val="24"/>
        </w:rPr>
        <w:t xml:space="preserve">Note 1 — The unit of the lean coefficient, fixed without α</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AP43 gives the operator’s lean as the coefficient times the gradient of the possibility potential, states that the coefficient is positive, finite and body-specific, and records its explicit normalisation as owed.</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Its unit is not owed. It is forced, and in one line.</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AP43 derives the coefficient’s dimensions as length cubed over time squared. Ask which combination of the electron’s mass, the quantum of action and the speed of light carries those dimensions. Writing the combination with unknown exponents and solving the three equations for mass, length and time gives a single solution, with no freedom left:</w:t>
      </w:r>
    </w:p>
    <w:p>
      <w:pPr>
        <w:spacing w:after="160" w:line="276"/>
        <w:ind w:left="567"/>
      </w:pPr>
      <w:r>
        <w:rPr>
          <w:rFonts w:ascii="Atkinson Hyperlegible" w:cs="Atkinson Hyperlegible" w:eastAsia="Atkinson Hyperlegible" w:hAnsi="Atkinson Hyperlegible"/>
          <w:b w:val="false"/>
          <w:bCs w:val="false"/>
          <w:i/>
          <w:iCs/>
          <w:sz w:val="22"/>
          <w:szCs w:val="22"/>
        </w:rPr>
        <w:t xml:space="preserve">the action times the speed, divided by the electron’s mass.</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Equivalently, and more usefully for this corpus, that is the cube of the reduced Compton length divided by the square of the electron tick, and equally the cube of the speed times the tick. The three forms are the same quantity written three ways, and all three are AP46’s own units.</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So the coefficient is that unit times a dimensionless multiplier. The unit contains no α, no charge and no measured coupling. What remains owed is the multiplier alone — for one minimum grain, whether it is one.</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What the note does. It converts an open normalisation into an open dimensionless number, which is a smaller thing and a sharper one. It does not derive the multiplier and does not claim to. It is stated here because a debt whose unit is known is a different debt from one whose unit is not, and because the derivation is short enough that any reader can check it.</w:t>
      </w:r>
    </w:p>
    <w:p>
      <w:pPr>
        <w:pStyle w:val="Heading2"/>
        <w:spacing w:after="200" w:before="420"/>
      </w:pPr>
      <w:r>
        <w:rPr>
          <w:rFonts w:ascii="Atkinson Hyperlegible" w:cs="Atkinson Hyperlegible" w:eastAsia="Atkinson Hyperlegible" w:hAnsi="Atkinson Hyperlegible"/>
          <w:b/>
          <w:bCs/>
          <w:color w:val="000000"/>
          <w:sz w:val="24"/>
          <w:szCs w:val="24"/>
        </w:rPr>
        <w:t xml:space="preserve">Note 2 — One sentence narrowed</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AP43 says that its normalisation is not free, because the pointwise accounting has fixed it against the source.</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That is too strong as written, and the exact statement is narrower:</w:t>
      </w:r>
    </w:p>
    <w:p>
      <w:pPr>
        <w:spacing w:after="160" w:line="276"/>
        <w:ind w:left="567"/>
      </w:pPr>
      <w:r>
        <w:rPr>
          <w:rFonts w:ascii="Atkinson Hyperlegible" w:cs="Atkinson Hyperlegible" w:eastAsia="Atkinson Hyperlegible" w:hAnsi="Atkinson Hyperlegible"/>
          <w:b w:val="false"/>
          <w:bCs w:val="false"/>
          <w:i/>
          <w:iCs/>
          <w:sz w:val="22"/>
          <w:szCs w:val="22"/>
        </w:rPr>
        <w:t xml:space="preserve">Once the source coupling is specified, the normalisation of the solution relative to that source is fixed. Premises 1 to 4 do not themselves determine the source coupling.</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The reason is visible in the paper’s own equation. Conservation in transit forces the same flux through every nested surface, and that is what gives the inverse-square law. It does not say how much flux one unit of source launches: doubling the coupling and halving the lean coefficient leaves every observable lean unchanged. The two are continuously degenerate in the probe-limit equation as it stands.</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This is not a defect in the derivation. Premises 1 to 4 do exactly what AP43 says they do — they force the form. The coupling was inserted into the Gauss law alongside them, and the paper should say so, because a reader who checks will find the degeneracy and will find it unremarked.</w:t>
      </w:r>
    </w:p>
    <w:p>
      <w:pPr>
        <w:pStyle w:val="Heading2"/>
        <w:spacing w:after="200" w:before="420"/>
      </w:pPr>
      <w:r>
        <w:rPr>
          <w:rFonts w:ascii="Atkinson Hyperlegible" w:cs="Atkinson Hyperlegible" w:eastAsia="Atkinson Hyperlegible" w:hAnsi="Atkinson Hyperlegible"/>
          <w:b/>
          <w:bCs/>
          <w:color w:val="000000"/>
          <w:sz w:val="24"/>
          <w:szCs w:val="24"/>
        </w:rPr>
        <w:t xml:space="preserve">What the two notes are worth together</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They identify AP43’s owed normalisation with the corpus’s standing debt on the value of α. The lean coefficient and the source coupling are one unknown in AP43’s own equation; AP24’s D1 is that unknown named from the other end. The corpus has been carrying them as two open items.</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AP54 §10 records a third candidate for the same identification, AP15’s KS-31, the conserved balance between wave-side coherence and field-side connection that AP15 names as owed and does not exhibit. Three open items in three papers, written apart and for different reasons. The claim here is only that they are candidates for identification and that the next attempt should start there.</w:t>
      </w:r>
    </w:p>
    <w:p>
      <w:pPr>
        <w:pStyle w:val="Heading2"/>
        <w:spacing w:after="200" w:before="420"/>
      </w:pPr>
      <w:r>
        <w:rPr>
          <w:rFonts w:ascii="Atkinson Hyperlegible" w:cs="Atkinson Hyperlegible" w:eastAsia="Atkinson Hyperlegible" w:hAnsi="Atkinson Hyperlegible"/>
          <w:b/>
          <w:bCs/>
          <w:color w:val="000000"/>
          <w:sz w:val="24"/>
          <w:szCs w:val="24"/>
        </w:rPr>
        <w:t xml:space="preserve">Booking</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Both notes are appended beside AP43 FINAL v3, dated, with the body byte-identical, under the standing rule of 7 September 2026: a locked body is never edited, replaced or removed, and corrections go beside it.</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Neither note changes a number, fires a switch, or moves a frozen prediction. Note 1 pays part of the normalisation debt at the level of units. Note 2 narrows one sentence of scope. The registry entry for the debt should record that its unit is now fixed and its multiplier is what remains.</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w:cs="Atkinson Hyperlegible" w:eastAsia="Atkinson Hyperlegible" w:hAnsi="Atkinson Hyperlegibl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AP43 — Dated Notes of 13 September 2026</dc:title>
  <dc:creator>Studio G</dc:creator>
  <dc:description>Two dated notes beside AP43 FINAL v3</dc:description>
  <cp:lastModifiedBy>Un-named</cp:lastModifiedBy>
  <cp:revision>1</cp:revision>
  <dcterms:created xsi:type="dcterms:W3CDTF">2026-09-13T07:27:32.977Z</dcterms:created>
  <dcterms:modified xsi:type="dcterms:W3CDTF">2026-09-13T07:27:32.977Z</dcterms:modified>
</cp:coreProperties>
</file>

<file path=docProps/custom.xml><?xml version="1.0" encoding="utf-8"?>
<Properties xmlns="http://schemas.openxmlformats.org/officeDocument/2006/custom-properties" xmlns:vt="http://schemas.openxmlformats.org/officeDocument/2006/docPropsVTypes"/>
</file>